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D3E4" w14:textId="77777777" w:rsidR="009E3195" w:rsidRPr="005857A4" w:rsidRDefault="009E3195" w:rsidP="009E3195">
      <w:pPr>
        <w:spacing w:line="360" w:lineRule="auto"/>
        <w:ind w:left="480" w:hanging="480"/>
        <w:jc w:val="center"/>
        <w:rPr>
          <w:rFonts w:ascii="Times New Roman" w:eastAsia="標楷體" w:hAnsi="Times New Roman" w:cs="Times New Roman"/>
          <w:b/>
          <w:bCs/>
          <w:sz w:val="28"/>
        </w:rPr>
      </w:pPr>
      <w:bookmarkStart w:id="0" w:name="_Hlk159314309"/>
      <w:r>
        <w:rPr>
          <w:rFonts w:ascii="Times New Roman" w:eastAsia="標楷體" w:hAnsi="Times New Roman" w:cs="Times New Roman" w:hint="eastAsia"/>
          <w:b/>
          <w:bCs/>
          <w:sz w:val="28"/>
        </w:rPr>
        <w:t>信託法律專業領域進修科目課綱</w:t>
      </w:r>
    </w:p>
    <w:bookmarkEnd w:id="0"/>
    <w:p w14:paraId="6FD0C0A5" w14:textId="41742431" w:rsidR="009E3195" w:rsidRPr="00EE6C69" w:rsidRDefault="009E3195" w:rsidP="009E3195">
      <w:pPr>
        <w:ind w:left="482" w:hanging="482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EE6C69">
        <w:rPr>
          <w:rFonts w:ascii="Times New Roman" w:eastAsia="標楷體" w:hAnsi="Times New Roman" w:cs="Times New Roman"/>
          <w:b/>
          <w:bCs/>
          <w:sz w:val="20"/>
          <w:szCs w:val="20"/>
        </w:rPr>
        <w:t>民國</w:t>
      </w:r>
      <w:r w:rsidRPr="00EE6C69">
        <w:rPr>
          <w:rFonts w:ascii="Times New Roman" w:eastAsia="標楷體" w:hAnsi="Times New Roman" w:cs="Times New Roman"/>
          <w:b/>
          <w:bCs/>
          <w:sz w:val="20"/>
          <w:szCs w:val="20"/>
        </w:rPr>
        <w:t>113</w:t>
      </w:r>
      <w:r w:rsidRPr="00EE6C69">
        <w:rPr>
          <w:rFonts w:ascii="Times New Roman" w:eastAsia="標楷體" w:hAnsi="Times New Roman" w:cs="Times New Roman"/>
          <w:b/>
          <w:bCs/>
          <w:sz w:val="20"/>
          <w:szCs w:val="20"/>
        </w:rPr>
        <w:t>年</w:t>
      </w:r>
      <w:r w:rsidR="006A5C8E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7</w:t>
      </w:r>
      <w:r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 xml:space="preserve"> </w:t>
      </w:r>
      <w:r w:rsidRPr="00EE6C69">
        <w:rPr>
          <w:rFonts w:ascii="Times New Roman" w:eastAsia="標楷體" w:hAnsi="Times New Roman" w:cs="Times New Roman"/>
          <w:b/>
          <w:bCs/>
          <w:sz w:val="20"/>
          <w:szCs w:val="20"/>
        </w:rPr>
        <w:t>月</w:t>
      </w:r>
      <w:r w:rsidR="006A5C8E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30</w:t>
      </w:r>
      <w:r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 xml:space="preserve"> </w:t>
      </w:r>
      <w:r w:rsidRPr="00EE6C69">
        <w:rPr>
          <w:rFonts w:ascii="Times New Roman" w:eastAsia="標楷體" w:hAnsi="Times New Roman" w:cs="Times New Roman"/>
          <w:b/>
          <w:bCs/>
          <w:sz w:val="20"/>
          <w:szCs w:val="20"/>
        </w:rPr>
        <w:t>日</w:t>
      </w:r>
      <w:r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信託法制</w:t>
      </w:r>
      <w:r w:rsidRPr="00EE6C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委員會通過</w:t>
      </w:r>
    </w:p>
    <w:p w14:paraId="367B6C95" w14:textId="3B8904D8" w:rsidR="009E3195" w:rsidRDefault="006A5C8E" w:rsidP="009E3195">
      <w:pPr>
        <w:wordWrap w:val="0"/>
        <w:ind w:left="482" w:hanging="482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 xml:space="preserve"> </w:t>
      </w:r>
      <w:r w:rsidR="009E3195" w:rsidRPr="00EE6C69">
        <w:rPr>
          <w:rFonts w:ascii="Times New Roman" w:eastAsia="標楷體" w:hAnsi="Times New Roman" w:cs="Times New Roman"/>
          <w:b/>
          <w:bCs/>
          <w:sz w:val="20"/>
          <w:szCs w:val="20"/>
        </w:rPr>
        <w:t>民國</w:t>
      </w:r>
      <w:r w:rsidR="009E3195" w:rsidRPr="00EE6C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1</w:t>
      </w:r>
      <w:r w:rsidR="009E3195" w:rsidRPr="00EE6C69">
        <w:rPr>
          <w:rFonts w:ascii="Times New Roman" w:eastAsia="標楷體" w:hAnsi="Times New Roman" w:cs="Times New Roman"/>
          <w:b/>
          <w:bCs/>
          <w:sz w:val="20"/>
          <w:szCs w:val="20"/>
        </w:rPr>
        <w:t>13</w:t>
      </w:r>
      <w:r w:rsidR="009E3195" w:rsidRPr="00EE6C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年</w:t>
      </w:r>
      <w:r w:rsidR="003E0112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8</w:t>
      </w:r>
      <w:r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 xml:space="preserve"> </w:t>
      </w:r>
      <w:r w:rsidR="009E3195" w:rsidRPr="00EE6C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月</w:t>
      </w:r>
      <w:r w:rsidR="003E0112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20</w:t>
      </w:r>
      <w:bookmarkStart w:id="1" w:name="_GoBack"/>
      <w:bookmarkEnd w:id="1"/>
      <w:r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 xml:space="preserve"> </w:t>
      </w:r>
      <w:r w:rsidR="009E3195" w:rsidRPr="00EE6C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日全律會專業領域課綱討論會議</w:t>
      </w:r>
      <w:r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修訂後通過</w:t>
      </w:r>
    </w:p>
    <w:p w14:paraId="380166AC" w14:textId="77777777" w:rsidR="009E3195" w:rsidRPr="00EE6C69" w:rsidRDefault="009E3195" w:rsidP="009E3195">
      <w:pPr>
        <w:ind w:left="482" w:hanging="482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</w:p>
    <w:p w14:paraId="28CCA675" w14:textId="77777777" w:rsidR="009E3195" w:rsidRPr="005857A4" w:rsidRDefault="009E3195" w:rsidP="009E3195">
      <w:pPr>
        <w:pStyle w:val="a9"/>
        <w:numPr>
          <w:ilvl w:val="0"/>
          <w:numId w:val="1"/>
        </w:numPr>
        <w:spacing w:after="0" w:line="360" w:lineRule="auto"/>
        <w:ind w:left="482" w:hanging="482"/>
        <w:contextualSpacing w:val="0"/>
        <w:jc w:val="both"/>
        <w:outlineLvl w:val="0"/>
        <w:rPr>
          <w:rFonts w:ascii="Times New Roman" w:eastAsia="標楷體" w:hAnsi="Times New Roman" w:cs="Times New Roman"/>
          <w:b/>
          <w:bCs/>
        </w:rPr>
      </w:pPr>
      <w:r w:rsidRPr="005857A4">
        <w:rPr>
          <w:rFonts w:ascii="Times New Roman" w:eastAsia="標楷體" w:hAnsi="Times New Roman" w:cs="Times New Roman"/>
          <w:b/>
          <w:bCs/>
        </w:rPr>
        <w:t>說明</w:t>
      </w:r>
    </w:p>
    <w:p w14:paraId="4E1AA567" w14:textId="5EF813D6" w:rsidR="009E3195" w:rsidRDefault="009E3195" w:rsidP="009E3195">
      <w:pPr>
        <w:ind w:firstLine="482"/>
        <w:jc w:val="both"/>
        <w:rPr>
          <w:rFonts w:ascii="Times New Roman" w:eastAsia="標楷體" w:hAnsi="Times New Roman" w:cs="Times New Roman"/>
          <w:b/>
          <w:bCs/>
        </w:rPr>
      </w:pPr>
      <w:proofErr w:type="gramStart"/>
      <w:r w:rsidRPr="005857A4">
        <w:rPr>
          <w:rFonts w:ascii="Times New Roman" w:eastAsia="標楷體" w:hAnsi="Times New Roman" w:cs="Times New Roman"/>
        </w:rPr>
        <w:t>本課綱旨在</w:t>
      </w:r>
      <w:proofErr w:type="gramEnd"/>
      <w:r w:rsidRPr="005857A4">
        <w:rPr>
          <w:rFonts w:ascii="Times New Roman" w:eastAsia="標楷體" w:hAnsi="Times New Roman" w:cs="Times New Roman"/>
        </w:rPr>
        <w:t>為律師提供</w:t>
      </w:r>
      <w:r>
        <w:rPr>
          <w:rFonts w:ascii="Times New Roman" w:eastAsia="標楷體" w:hAnsi="Times New Roman" w:cs="Times New Roman" w:hint="eastAsia"/>
        </w:rPr>
        <w:t>信託法制</w:t>
      </w:r>
      <w:r w:rsidRPr="005857A4">
        <w:rPr>
          <w:rFonts w:ascii="Times New Roman" w:eastAsia="標楷體" w:hAnsi="Times New Roman" w:cs="Times New Roman"/>
        </w:rPr>
        <w:t>相關專業知識與技能，以</w:t>
      </w:r>
      <w:r>
        <w:rPr>
          <w:rFonts w:ascii="Times New Roman" w:eastAsia="標楷體" w:hAnsi="Times New Roman" w:cs="Times New Roman" w:hint="eastAsia"/>
        </w:rPr>
        <w:t>信託法制相關法規及實務</w:t>
      </w:r>
      <w:r w:rsidRPr="005857A4">
        <w:rPr>
          <w:rFonts w:ascii="Times New Roman" w:eastAsia="標楷體" w:hAnsi="Times New Roman" w:cs="Times New Roman"/>
        </w:rPr>
        <w:t>為核心，</w:t>
      </w:r>
      <w:r>
        <w:rPr>
          <w:rFonts w:ascii="Times New Roman" w:eastAsia="標楷體" w:hAnsi="Times New Roman" w:cs="Times New Roman" w:hint="eastAsia"/>
        </w:rPr>
        <w:t>就</w:t>
      </w:r>
      <w:r w:rsidRPr="005857A4">
        <w:rPr>
          <w:rFonts w:ascii="Times New Roman" w:eastAsia="標楷體" w:hAnsi="Times New Roman" w:cs="Times New Roman"/>
        </w:rPr>
        <w:t>律師在</w:t>
      </w:r>
      <w:r>
        <w:rPr>
          <w:rFonts w:ascii="Times New Roman" w:eastAsia="標楷體" w:hAnsi="Times New Roman" w:cs="Times New Roman" w:hint="eastAsia"/>
        </w:rPr>
        <w:t>規劃信託及擔任信託受託人、信託監察人等任務時，明確定位應</w:t>
      </w:r>
      <w:r w:rsidRPr="005857A4">
        <w:rPr>
          <w:rFonts w:ascii="Times New Roman" w:eastAsia="標楷體" w:hAnsi="Times New Roman" w:cs="Times New Roman"/>
        </w:rPr>
        <w:t>發揮</w:t>
      </w:r>
      <w:r>
        <w:rPr>
          <w:rFonts w:ascii="Times New Roman" w:eastAsia="標楷體" w:hAnsi="Times New Roman" w:cs="Times New Roman" w:hint="eastAsia"/>
        </w:rPr>
        <w:t>之</w:t>
      </w:r>
      <w:r w:rsidRPr="005857A4">
        <w:rPr>
          <w:rFonts w:ascii="Times New Roman" w:eastAsia="標楷體" w:hAnsi="Times New Roman" w:cs="Times New Roman"/>
        </w:rPr>
        <w:t>積極作用</w:t>
      </w:r>
      <w:r>
        <w:rPr>
          <w:rFonts w:ascii="Times New Roman" w:eastAsia="標楷體" w:hAnsi="Times New Roman" w:cs="Times New Roman" w:hint="eastAsia"/>
        </w:rPr>
        <w:t>，善盡之作為義務。</w:t>
      </w:r>
      <w:r w:rsidRPr="005857A4">
        <w:rPr>
          <w:rFonts w:ascii="Times New Roman" w:eastAsia="標楷體" w:hAnsi="Times New Roman" w:cs="Times New Roman"/>
        </w:rPr>
        <w:t>課程內容將涵</w:t>
      </w:r>
      <w:r>
        <w:rPr>
          <w:rFonts w:ascii="Times New Roman" w:eastAsia="標楷體" w:hAnsi="Times New Roman" w:cs="Times New Roman" w:hint="eastAsia"/>
        </w:rPr>
        <w:t>蓋基礎信託法制相關規定、實務運作，暨進階高齡信託及家族企業傳承信託等應遵循之注意事項；</w:t>
      </w:r>
      <w:r w:rsidRPr="005875F0">
        <w:rPr>
          <w:rFonts w:ascii="Times New Roman" w:eastAsia="標楷體" w:hAnsi="Times New Roman" w:cs="Times New Roman" w:hint="eastAsia"/>
        </w:rPr>
        <w:t>兼及法律與實務，使律師能於信託法制</w:t>
      </w:r>
      <w:r>
        <w:rPr>
          <w:rFonts w:ascii="Times New Roman" w:eastAsia="標楷體" w:hAnsi="Times New Roman" w:cs="Times New Roman" w:hint="eastAsia"/>
        </w:rPr>
        <w:t>、</w:t>
      </w:r>
      <w:r w:rsidRPr="005875F0">
        <w:rPr>
          <w:rFonts w:ascii="Times New Roman" w:eastAsia="標楷體" w:hAnsi="Times New Roman" w:cs="Times New Roman" w:hint="eastAsia"/>
        </w:rPr>
        <w:t>高齡信託、家族</w:t>
      </w:r>
      <w:r>
        <w:rPr>
          <w:rFonts w:ascii="Times New Roman" w:eastAsia="標楷體" w:hAnsi="Times New Roman" w:cs="Times New Roman" w:hint="eastAsia"/>
        </w:rPr>
        <w:t>信託及家族傳承等相關民刑事基礎、不動產、稅務、公司法</w:t>
      </w:r>
      <w:r w:rsidRPr="005875F0">
        <w:rPr>
          <w:rFonts w:ascii="Times New Roman" w:eastAsia="標楷體" w:hAnsi="Times New Roman" w:cs="Times New Roman" w:hint="eastAsia"/>
        </w:rPr>
        <w:t>及企業</w:t>
      </w:r>
      <w:proofErr w:type="gramStart"/>
      <w:r w:rsidRPr="005875F0">
        <w:rPr>
          <w:rFonts w:ascii="Times New Roman" w:eastAsia="標楷體" w:hAnsi="Times New Roman" w:cs="Times New Roman" w:hint="eastAsia"/>
        </w:rPr>
        <w:t>併</w:t>
      </w:r>
      <w:proofErr w:type="gramEnd"/>
      <w:r w:rsidRPr="005875F0">
        <w:rPr>
          <w:rFonts w:ascii="Times New Roman" w:eastAsia="標楷體" w:hAnsi="Times New Roman" w:cs="Times New Roman" w:hint="eastAsia"/>
        </w:rPr>
        <w:t>購領域，增進對於各類議題之熟稔度</w:t>
      </w:r>
      <w:r>
        <w:rPr>
          <w:rFonts w:ascii="Times New Roman" w:eastAsia="標楷體" w:hAnsi="Times New Roman" w:cs="Times New Roman" w:hint="eastAsia"/>
        </w:rPr>
        <w:t>，以</w:t>
      </w:r>
      <w:r w:rsidRPr="005875F0">
        <w:rPr>
          <w:rFonts w:ascii="Times New Roman" w:eastAsia="標楷體" w:hAnsi="Times New Roman" w:cs="Times New Roman" w:hint="eastAsia"/>
        </w:rPr>
        <w:t>培養律師於</w:t>
      </w:r>
      <w:r>
        <w:rPr>
          <w:rFonts w:ascii="Times New Roman" w:eastAsia="標楷體" w:hAnsi="Times New Roman" w:cs="Times New Roman" w:hint="eastAsia"/>
        </w:rPr>
        <w:t>信託法制</w:t>
      </w:r>
      <w:r w:rsidRPr="005875F0">
        <w:rPr>
          <w:rFonts w:ascii="Times New Roman" w:eastAsia="標楷體" w:hAnsi="Times New Roman" w:cs="Times New Roman" w:hint="eastAsia"/>
        </w:rPr>
        <w:t>領域的專業能力。</w:t>
      </w:r>
    </w:p>
    <w:p w14:paraId="6F484485" w14:textId="77777777" w:rsidR="009E3195" w:rsidRPr="00EC3E9C" w:rsidRDefault="009E3195" w:rsidP="009E3195">
      <w:pPr>
        <w:pStyle w:val="a9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標楷體" w:hAnsi="Times New Roman" w:cs="Times New Roman"/>
          <w:b/>
          <w:bCs/>
        </w:rPr>
      </w:pPr>
      <w:r w:rsidRPr="00EC3E9C">
        <w:rPr>
          <w:rFonts w:ascii="Times New Roman" w:eastAsia="標楷體" w:hAnsi="Times New Roman" w:cs="Times New Roman" w:hint="eastAsia"/>
          <w:b/>
          <w:bCs/>
        </w:rPr>
        <w:t>課程目標</w:t>
      </w:r>
    </w:p>
    <w:p w14:paraId="427995EE" w14:textId="77777777" w:rsidR="009E3195" w:rsidRPr="00EC3E9C" w:rsidRDefault="009E3195" w:rsidP="009E3195">
      <w:pPr>
        <w:jc w:val="both"/>
        <w:rPr>
          <w:rFonts w:ascii="Times New Roman" w:eastAsia="標楷體" w:hAnsi="Times New Roman" w:cs="Times New Roman"/>
          <w:b/>
          <w:bCs/>
        </w:rPr>
      </w:pPr>
      <w:r w:rsidRPr="00EC3E9C">
        <w:rPr>
          <w:rFonts w:ascii="Times New Roman" w:eastAsia="標楷體" w:hAnsi="Times New Roman" w:cs="Times New Roman" w:hint="eastAsia"/>
          <w:b/>
          <w:bCs/>
        </w:rPr>
        <w:t>一、全面並深入理解</w:t>
      </w:r>
      <w:r>
        <w:rPr>
          <w:rFonts w:ascii="Times New Roman" w:eastAsia="標楷體" w:hAnsi="Times New Roman" w:cs="Times New Roman" w:hint="eastAsia"/>
          <w:b/>
          <w:bCs/>
        </w:rPr>
        <w:t>信託法制</w:t>
      </w:r>
      <w:r w:rsidRPr="00EC3E9C">
        <w:rPr>
          <w:rFonts w:ascii="Times New Roman" w:eastAsia="標楷體" w:hAnsi="Times New Roman" w:cs="Times New Roman" w:hint="eastAsia"/>
          <w:b/>
          <w:bCs/>
        </w:rPr>
        <w:t>及其相關法令的基本概念、法制規定</w:t>
      </w:r>
      <w:r>
        <w:rPr>
          <w:rFonts w:ascii="Times New Roman" w:eastAsia="標楷體" w:hAnsi="Times New Roman" w:cs="Times New Roman" w:hint="eastAsia"/>
          <w:b/>
          <w:bCs/>
        </w:rPr>
        <w:t>、</w:t>
      </w:r>
      <w:r w:rsidRPr="00EC3E9C">
        <w:rPr>
          <w:rFonts w:ascii="Times New Roman" w:eastAsia="標楷體" w:hAnsi="Times New Roman" w:cs="Times New Roman" w:hint="eastAsia"/>
          <w:b/>
          <w:bCs/>
        </w:rPr>
        <w:t>重要原則</w:t>
      </w:r>
      <w:r>
        <w:rPr>
          <w:rFonts w:ascii="Times New Roman" w:eastAsia="標楷體" w:hAnsi="Times New Roman" w:cs="Times New Roman" w:hint="eastAsia"/>
          <w:b/>
          <w:bCs/>
        </w:rPr>
        <w:t>。</w:t>
      </w:r>
    </w:p>
    <w:p w14:paraId="4D79AFCA" w14:textId="77777777" w:rsidR="009E3195" w:rsidRPr="00EC3E9C" w:rsidRDefault="009E3195" w:rsidP="009E319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right" w:pos="8306"/>
        </w:tabs>
        <w:jc w:val="both"/>
        <w:rPr>
          <w:rFonts w:ascii="Times New Roman" w:eastAsia="標楷體" w:hAnsi="Times New Roman" w:cs="Times New Roman"/>
          <w:b/>
          <w:bCs/>
        </w:rPr>
      </w:pPr>
      <w:r w:rsidRPr="00EC3E9C">
        <w:rPr>
          <w:rFonts w:ascii="Times New Roman" w:eastAsia="標楷體" w:hAnsi="Times New Roman" w:cs="Times New Roman" w:hint="eastAsia"/>
          <w:b/>
          <w:bCs/>
        </w:rPr>
        <w:t>二、</w:t>
      </w:r>
      <w:r w:rsidRPr="00EC3E9C">
        <w:rPr>
          <w:rFonts w:ascii="Times New Roman" w:eastAsia="標楷體" w:hAnsi="Times New Roman" w:cs="Times New Roman" w:hint="eastAsia"/>
          <w:b/>
          <w:bCs/>
        </w:rPr>
        <w:tab/>
      </w:r>
      <w:r w:rsidRPr="00EC3E9C">
        <w:rPr>
          <w:rFonts w:ascii="Times New Roman" w:eastAsia="標楷體" w:hAnsi="Times New Roman" w:cs="Times New Roman" w:hint="eastAsia"/>
          <w:b/>
          <w:bCs/>
        </w:rPr>
        <w:t>掌握</w:t>
      </w:r>
      <w:r>
        <w:rPr>
          <w:rFonts w:ascii="Times New Roman" w:eastAsia="標楷體" w:hAnsi="Times New Roman" w:cs="Times New Roman" w:hint="eastAsia"/>
          <w:b/>
          <w:bCs/>
        </w:rPr>
        <w:t>律師進行信託規劃、擔任信託受託人或信託監察人及提供各項信託法律服務等之</w:t>
      </w:r>
      <w:r w:rsidRPr="00EC3E9C">
        <w:rPr>
          <w:rFonts w:ascii="Times New Roman" w:eastAsia="標楷體" w:hAnsi="Times New Roman" w:cs="Times New Roman" w:hint="eastAsia"/>
          <w:b/>
          <w:bCs/>
        </w:rPr>
        <w:t>相關法律法規基礎知識。</w:t>
      </w:r>
      <w:r>
        <w:rPr>
          <w:rFonts w:ascii="Times New Roman" w:eastAsia="標楷體" w:hAnsi="Times New Roman" w:cs="Times New Roman"/>
          <w:b/>
          <w:bCs/>
        </w:rPr>
        <w:tab/>
      </w:r>
      <w:r>
        <w:rPr>
          <w:rFonts w:ascii="Times New Roman" w:eastAsia="標楷體" w:hAnsi="Times New Roman" w:cs="Times New Roman" w:hint="eastAsia"/>
          <w:b/>
          <w:bCs/>
        </w:rPr>
        <w:t>。</w:t>
      </w:r>
    </w:p>
    <w:p w14:paraId="5059BA8A" w14:textId="77777777" w:rsidR="009E3195" w:rsidRPr="00EC3E9C" w:rsidRDefault="009E3195" w:rsidP="009E3195">
      <w:pPr>
        <w:jc w:val="both"/>
        <w:rPr>
          <w:rFonts w:ascii="Times New Roman" w:eastAsia="標楷體" w:hAnsi="Times New Roman" w:cs="Times New Roman"/>
          <w:b/>
          <w:bCs/>
        </w:rPr>
      </w:pPr>
      <w:r w:rsidRPr="00EC3E9C">
        <w:rPr>
          <w:rFonts w:ascii="Times New Roman" w:eastAsia="標楷體" w:hAnsi="Times New Roman" w:cs="Times New Roman" w:hint="eastAsia"/>
          <w:b/>
          <w:bCs/>
        </w:rPr>
        <w:t>三、</w:t>
      </w:r>
      <w:r w:rsidRPr="00EC3E9C">
        <w:rPr>
          <w:rFonts w:ascii="Times New Roman" w:eastAsia="標楷體" w:hAnsi="Times New Roman" w:cs="Times New Roman" w:hint="eastAsia"/>
          <w:b/>
          <w:bCs/>
        </w:rPr>
        <w:tab/>
      </w:r>
      <w:r w:rsidRPr="00EC3E9C">
        <w:rPr>
          <w:rFonts w:ascii="Times New Roman" w:eastAsia="標楷體" w:hAnsi="Times New Roman" w:cs="Times New Roman" w:hint="eastAsia"/>
          <w:b/>
          <w:bCs/>
        </w:rPr>
        <w:t>培養律師在</w:t>
      </w:r>
      <w:r>
        <w:rPr>
          <w:rFonts w:ascii="Times New Roman" w:eastAsia="標楷體" w:hAnsi="Times New Roman" w:cs="Times New Roman" w:hint="eastAsia"/>
          <w:b/>
          <w:bCs/>
        </w:rPr>
        <w:t>提供信託法律服務</w:t>
      </w:r>
      <w:r w:rsidRPr="00EC3E9C">
        <w:rPr>
          <w:rFonts w:ascii="Times New Roman" w:eastAsia="標楷體" w:hAnsi="Times New Roman" w:cs="Times New Roman" w:hint="eastAsia"/>
          <w:b/>
          <w:bCs/>
        </w:rPr>
        <w:t>中的分析、溝通、協商和解決問題的能力。</w:t>
      </w:r>
    </w:p>
    <w:p w14:paraId="1D561807" w14:textId="77777777" w:rsidR="009E3195" w:rsidRPr="00EC3E9C" w:rsidRDefault="009E3195" w:rsidP="009E3195">
      <w:pPr>
        <w:jc w:val="both"/>
        <w:rPr>
          <w:rFonts w:ascii="Times New Roman" w:eastAsia="標楷體" w:hAnsi="Times New Roman" w:cs="Times New Roman"/>
          <w:b/>
          <w:bCs/>
        </w:rPr>
      </w:pPr>
      <w:r w:rsidRPr="00EC3E9C">
        <w:rPr>
          <w:rFonts w:ascii="Times New Roman" w:eastAsia="標楷體" w:hAnsi="Times New Roman" w:cs="Times New Roman" w:hint="eastAsia"/>
          <w:b/>
          <w:bCs/>
        </w:rPr>
        <w:t>四、</w:t>
      </w:r>
      <w:r w:rsidRPr="00EC3E9C">
        <w:rPr>
          <w:rFonts w:ascii="Times New Roman" w:eastAsia="標楷體" w:hAnsi="Times New Roman" w:cs="Times New Roman" w:hint="eastAsia"/>
          <w:b/>
          <w:bCs/>
        </w:rPr>
        <w:tab/>
      </w:r>
      <w:r w:rsidRPr="00EC3E9C">
        <w:rPr>
          <w:rFonts w:ascii="Times New Roman" w:eastAsia="標楷體" w:hAnsi="Times New Roman" w:cs="Times New Roman" w:hint="eastAsia"/>
          <w:b/>
          <w:bCs/>
        </w:rPr>
        <w:t>熟悉</w:t>
      </w:r>
      <w:r>
        <w:rPr>
          <w:rFonts w:ascii="Times New Roman" w:eastAsia="標楷體" w:hAnsi="Times New Roman" w:cs="Times New Roman" w:hint="eastAsia"/>
          <w:b/>
          <w:bCs/>
        </w:rPr>
        <w:t>提供信託法律服務應遵循之</w:t>
      </w:r>
      <w:r w:rsidRPr="00EC3E9C">
        <w:rPr>
          <w:rFonts w:ascii="Times New Roman" w:eastAsia="標楷體" w:hAnsi="Times New Roman" w:cs="Times New Roman" w:hint="eastAsia"/>
          <w:b/>
          <w:bCs/>
        </w:rPr>
        <w:t>程序及實務操作。</w:t>
      </w:r>
    </w:p>
    <w:p w14:paraId="0AE47A7F" w14:textId="77777777" w:rsidR="009E3195" w:rsidRDefault="009E3195" w:rsidP="009E3195">
      <w:pPr>
        <w:jc w:val="both"/>
        <w:rPr>
          <w:rFonts w:ascii="Times New Roman" w:eastAsia="標楷體" w:hAnsi="Times New Roman" w:cs="Times New Roman"/>
          <w:b/>
          <w:bCs/>
        </w:rPr>
      </w:pPr>
      <w:r w:rsidRPr="00EC3E9C">
        <w:rPr>
          <w:rFonts w:ascii="Times New Roman" w:eastAsia="標楷體" w:hAnsi="Times New Roman" w:cs="Times New Roman" w:hint="eastAsia"/>
          <w:b/>
          <w:bCs/>
        </w:rPr>
        <w:t>五、</w:t>
      </w:r>
      <w:r w:rsidRPr="00EC3E9C">
        <w:rPr>
          <w:rFonts w:ascii="Times New Roman" w:eastAsia="標楷體" w:hAnsi="Times New Roman" w:cs="Times New Roman" w:hint="eastAsia"/>
          <w:b/>
          <w:bCs/>
        </w:rPr>
        <w:tab/>
      </w:r>
      <w:r w:rsidRPr="00EC3E9C">
        <w:rPr>
          <w:rFonts w:ascii="Times New Roman" w:eastAsia="標楷體" w:hAnsi="Times New Roman" w:cs="Times New Roman" w:hint="eastAsia"/>
          <w:b/>
          <w:bCs/>
        </w:rPr>
        <w:t>培養律師</w:t>
      </w:r>
      <w:r>
        <w:rPr>
          <w:rFonts w:ascii="Times New Roman" w:eastAsia="標楷體" w:hAnsi="Times New Roman" w:cs="Times New Roman" w:hint="eastAsia"/>
          <w:b/>
          <w:bCs/>
        </w:rPr>
        <w:t>提供信託法律服務</w:t>
      </w:r>
      <w:r w:rsidRPr="00EC3E9C">
        <w:rPr>
          <w:rFonts w:ascii="Times New Roman" w:eastAsia="標楷體" w:hAnsi="Times New Roman" w:cs="Times New Roman" w:hint="eastAsia"/>
          <w:b/>
          <w:bCs/>
        </w:rPr>
        <w:t>的專業倫理意識和行為準則。</w:t>
      </w:r>
    </w:p>
    <w:p w14:paraId="7A3C0538" w14:textId="77777777" w:rsidR="009E3195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參、課綱</w:t>
      </w:r>
    </w:p>
    <w:p w14:paraId="6BA12030" w14:textId="77777777" w:rsidR="009E3195" w:rsidRPr="000C3C57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0C3C57">
        <w:rPr>
          <w:rFonts w:ascii="Times New Roman" w:eastAsia="標楷體" w:hAnsi="Times New Roman" w:cs="Times New Roman" w:hint="eastAsia"/>
        </w:rPr>
        <w:t>依「</w:t>
      </w:r>
      <w:r w:rsidRPr="000C3C57">
        <w:rPr>
          <w:rFonts w:ascii="標楷體" w:eastAsia="標楷體" w:hAnsi="標楷體" w:hint="eastAsia"/>
        </w:rPr>
        <w:t>律師專業領域進修暨證明請領實施辦法</w:t>
      </w:r>
      <w:r w:rsidRPr="000C3C57">
        <w:rPr>
          <w:rFonts w:ascii="Times New Roman" w:eastAsia="標楷體" w:hAnsi="Times New Roman" w:cs="Times New Roman" w:hint="eastAsia"/>
        </w:rPr>
        <w:t>」第</w:t>
      </w:r>
      <w:r w:rsidRPr="000C3C57">
        <w:rPr>
          <w:rFonts w:ascii="Times New Roman" w:eastAsia="標楷體" w:hAnsi="Times New Roman" w:cs="Times New Roman"/>
        </w:rPr>
        <w:t>3</w:t>
      </w:r>
      <w:r w:rsidRPr="000C3C57">
        <w:rPr>
          <w:rFonts w:ascii="Times New Roman" w:eastAsia="標楷體" w:hAnsi="Times New Roman" w:cs="Times New Roman" w:hint="eastAsia"/>
        </w:rPr>
        <w:t>條第</w:t>
      </w:r>
      <w:r w:rsidRPr="000C3C57">
        <w:rPr>
          <w:rFonts w:ascii="Times New Roman" w:eastAsia="標楷體" w:hAnsi="Times New Roman" w:cs="Times New Roman" w:hint="eastAsia"/>
        </w:rPr>
        <w:t>2</w:t>
      </w:r>
      <w:r w:rsidRPr="000C3C57">
        <w:rPr>
          <w:rFonts w:ascii="Times New Roman" w:eastAsia="標楷體" w:hAnsi="Times New Roman" w:cs="Times New Roman" w:hint="eastAsia"/>
        </w:rPr>
        <w:t>項：「</w:t>
      </w:r>
      <w:proofErr w:type="gramStart"/>
      <w:r w:rsidRPr="000C3C57">
        <w:rPr>
          <w:rFonts w:ascii="Times New Roman" w:eastAsia="標楷體" w:hAnsi="Times New Roman" w:cs="Times New Roman" w:hint="eastAsia"/>
        </w:rPr>
        <w:t>課綱</w:t>
      </w:r>
      <w:r w:rsidRPr="000C3C57">
        <w:rPr>
          <w:rFonts w:ascii="標楷體" w:eastAsia="標楷體" w:hAnsi="標楷體" w:hint="eastAsia"/>
        </w:rPr>
        <w:t>應</w:t>
      </w:r>
      <w:proofErr w:type="gramEnd"/>
      <w:r w:rsidRPr="000C3C57">
        <w:rPr>
          <w:rFonts w:ascii="標楷體" w:eastAsia="標楷體" w:hAnsi="標楷體" w:hint="eastAsia"/>
        </w:rPr>
        <w:t>考量該專業領域進修課</w:t>
      </w:r>
      <w:r w:rsidRPr="000C3C57">
        <w:rPr>
          <w:rFonts w:ascii="Times New Roman" w:eastAsia="標楷體" w:hAnsi="Times New Roman" w:cs="Times New Roman" w:hint="eastAsia"/>
        </w:rPr>
        <w:t>程之專業性，秉持適度及彈性原則，為綱要性、方向性之訂定」，各課程之上課時數依具體開課情形而定。</w:t>
      </w:r>
    </w:p>
    <w:p w14:paraId="1F5CD28B" w14:textId="77777777" w:rsidR="009E3195" w:rsidRPr="00EC6572" w:rsidRDefault="009E3195" w:rsidP="009E3195">
      <w:pPr>
        <w:rPr>
          <w:rFonts w:ascii="標楷體" w:eastAsia="標楷體" w:hAnsi="標楷體"/>
        </w:rPr>
      </w:pPr>
      <w:r w:rsidRPr="00EC6572">
        <w:rPr>
          <w:rFonts w:ascii="標楷體" w:eastAsia="標楷體" w:hAnsi="標楷體" w:hint="eastAsia"/>
        </w:rPr>
        <w:t>一、信託法制與實務</w:t>
      </w:r>
    </w:p>
    <w:tbl>
      <w:tblPr>
        <w:tblStyle w:val="af3"/>
        <w:tblW w:w="8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8080"/>
      </w:tblGrid>
      <w:tr w:rsidR="009E3195" w:rsidRPr="00EC6572" w14:paraId="06CBA022" w14:textId="77777777" w:rsidTr="00895D17">
        <w:tc>
          <w:tcPr>
            <w:tcW w:w="552" w:type="dxa"/>
          </w:tcPr>
          <w:p w14:paraId="4705D0C6" w14:textId="5545B47B" w:rsidR="009E3195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1</w:t>
            </w:r>
          </w:p>
        </w:tc>
        <w:tc>
          <w:tcPr>
            <w:tcW w:w="8080" w:type="dxa"/>
          </w:tcPr>
          <w:p w14:paraId="45271133" w14:textId="77777777" w:rsidR="009E3195" w:rsidRPr="005E7B4E" w:rsidRDefault="009E3195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律師在信託中所扮演的角色及可發揮之功能</w:t>
            </w:r>
          </w:p>
        </w:tc>
      </w:tr>
      <w:tr w:rsidR="009E3195" w:rsidRPr="00EC6572" w14:paraId="4DCC0605" w14:textId="77777777" w:rsidTr="00895D17">
        <w:tc>
          <w:tcPr>
            <w:tcW w:w="552" w:type="dxa"/>
          </w:tcPr>
          <w:p w14:paraId="4CCADA38" w14:textId="6E29B955" w:rsidR="009E3195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2</w:t>
            </w:r>
          </w:p>
        </w:tc>
        <w:tc>
          <w:tcPr>
            <w:tcW w:w="8080" w:type="dxa"/>
          </w:tcPr>
          <w:p w14:paraId="1D227415" w14:textId="77777777" w:rsidR="009E3195" w:rsidRPr="005E7B4E" w:rsidRDefault="009E3195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信託與債權確保</w:t>
            </w:r>
          </w:p>
        </w:tc>
      </w:tr>
      <w:tr w:rsidR="006A5C8E" w:rsidRPr="00EC6572" w14:paraId="0CFE2222" w14:textId="77777777" w:rsidTr="00895D17">
        <w:tc>
          <w:tcPr>
            <w:tcW w:w="552" w:type="dxa"/>
          </w:tcPr>
          <w:p w14:paraId="185947D2" w14:textId="51B7EC3C" w:rsidR="006A5C8E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lastRenderedPageBreak/>
              <w:t>3</w:t>
            </w:r>
          </w:p>
        </w:tc>
        <w:tc>
          <w:tcPr>
            <w:tcW w:w="8080" w:type="dxa"/>
          </w:tcPr>
          <w:p w14:paraId="342510B1" w14:textId="0EE7F3C7" w:rsidR="006A5C8E" w:rsidRPr="005E7B4E" w:rsidRDefault="006A5C8E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信託重要法規及信託實務</w:t>
            </w:r>
          </w:p>
        </w:tc>
      </w:tr>
      <w:tr w:rsidR="009E3195" w:rsidRPr="00EC6572" w14:paraId="22A08D42" w14:textId="77777777" w:rsidTr="00895D17">
        <w:tc>
          <w:tcPr>
            <w:tcW w:w="552" w:type="dxa"/>
          </w:tcPr>
          <w:p w14:paraId="270FD718" w14:textId="17EEAB77" w:rsidR="009E3195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4</w:t>
            </w:r>
          </w:p>
        </w:tc>
        <w:tc>
          <w:tcPr>
            <w:tcW w:w="8080" w:type="dxa"/>
          </w:tcPr>
          <w:p w14:paraId="25BB6F10" w14:textId="737FD78E" w:rsidR="009E3195" w:rsidRPr="005E7B4E" w:rsidRDefault="006A5C8E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信託契約之撰擬與規劃</w:t>
            </w:r>
          </w:p>
        </w:tc>
      </w:tr>
      <w:tr w:rsidR="009E3195" w:rsidRPr="00EC6572" w14:paraId="3C110243" w14:textId="77777777" w:rsidTr="00895D17">
        <w:tc>
          <w:tcPr>
            <w:tcW w:w="552" w:type="dxa"/>
          </w:tcPr>
          <w:p w14:paraId="0457EBA8" w14:textId="3A34BCC3" w:rsidR="009E3195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5</w:t>
            </w:r>
          </w:p>
        </w:tc>
        <w:tc>
          <w:tcPr>
            <w:tcW w:w="8080" w:type="dxa"/>
          </w:tcPr>
          <w:p w14:paraId="3BF834DE" w14:textId="6408576C" w:rsidR="009E3195" w:rsidRPr="005E7B4E" w:rsidRDefault="006A5C8E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信託稅捐法規與爭</w:t>
            </w:r>
            <w:proofErr w:type="gramStart"/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訟</w:t>
            </w:r>
            <w:proofErr w:type="gramEnd"/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實務</w:t>
            </w:r>
          </w:p>
        </w:tc>
      </w:tr>
      <w:tr w:rsidR="009E3195" w:rsidRPr="00EC6572" w14:paraId="2B95FF96" w14:textId="77777777" w:rsidTr="00895D17">
        <w:tc>
          <w:tcPr>
            <w:tcW w:w="552" w:type="dxa"/>
          </w:tcPr>
          <w:p w14:paraId="7390A778" w14:textId="143A5817" w:rsidR="009E3195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6</w:t>
            </w:r>
          </w:p>
        </w:tc>
        <w:tc>
          <w:tcPr>
            <w:tcW w:w="8080" w:type="dxa"/>
          </w:tcPr>
          <w:p w14:paraId="0F758C5A" w14:textId="2F0EBE73" w:rsidR="009E3195" w:rsidRPr="005E7B4E" w:rsidRDefault="006A5C8E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信託稅捐規劃與實務</w:t>
            </w:r>
          </w:p>
        </w:tc>
      </w:tr>
      <w:tr w:rsidR="009E3195" w:rsidRPr="00EC6572" w14:paraId="57CD3665" w14:textId="77777777" w:rsidTr="00895D17">
        <w:tc>
          <w:tcPr>
            <w:tcW w:w="552" w:type="dxa"/>
          </w:tcPr>
          <w:p w14:paraId="347ADB62" w14:textId="1D521644" w:rsidR="009E3195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7</w:t>
            </w:r>
          </w:p>
        </w:tc>
        <w:tc>
          <w:tcPr>
            <w:tcW w:w="8080" w:type="dxa"/>
          </w:tcPr>
          <w:p w14:paraId="683F19CA" w14:textId="77777777" w:rsidR="009E3195" w:rsidRPr="005E7B4E" w:rsidRDefault="009E3195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信託實務</w:t>
            </w:r>
            <w:r w:rsidRPr="005E7B4E">
              <w:rPr>
                <w:rFonts w:ascii="標楷體" w:eastAsia="標楷體" w:hAnsi="標楷體" w:cs="CIDFont+F2"/>
                <w:b/>
                <w:bCs/>
                <w:kern w:val="0"/>
              </w:rPr>
              <w:t>:</w:t>
            </w: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金錢信託</w:t>
            </w:r>
          </w:p>
        </w:tc>
      </w:tr>
      <w:tr w:rsidR="009E3195" w:rsidRPr="00EC6572" w14:paraId="749BDEBE" w14:textId="77777777" w:rsidTr="00895D17">
        <w:tc>
          <w:tcPr>
            <w:tcW w:w="552" w:type="dxa"/>
          </w:tcPr>
          <w:p w14:paraId="76AC9CA0" w14:textId="712CF31C" w:rsidR="009E3195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8</w:t>
            </w:r>
          </w:p>
        </w:tc>
        <w:tc>
          <w:tcPr>
            <w:tcW w:w="8080" w:type="dxa"/>
          </w:tcPr>
          <w:p w14:paraId="5701A175" w14:textId="77777777" w:rsidR="009E3195" w:rsidRPr="005E7B4E" w:rsidRDefault="009E3195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信託實務</w:t>
            </w:r>
            <w:r w:rsidRPr="005E7B4E">
              <w:rPr>
                <w:rFonts w:ascii="標楷體" w:eastAsia="標楷體" w:hAnsi="標楷體" w:cs="CIDFont+F2"/>
                <w:b/>
                <w:bCs/>
                <w:kern w:val="0"/>
              </w:rPr>
              <w:t>:</w:t>
            </w: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不動產信託</w:t>
            </w:r>
          </w:p>
        </w:tc>
      </w:tr>
      <w:tr w:rsidR="009E3195" w:rsidRPr="00EC6572" w14:paraId="7EE0966F" w14:textId="77777777" w:rsidTr="00895D17">
        <w:tc>
          <w:tcPr>
            <w:tcW w:w="552" w:type="dxa"/>
          </w:tcPr>
          <w:p w14:paraId="1ABD05AE" w14:textId="64777327" w:rsidR="009E3195" w:rsidRPr="00EC6572" w:rsidRDefault="000F1AE9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9</w:t>
            </w:r>
          </w:p>
        </w:tc>
        <w:tc>
          <w:tcPr>
            <w:tcW w:w="8080" w:type="dxa"/>
          </w:tcPr>
          <w:p w14:paraId="608F91FE" w14:textId="77777777" w:rsidR="009E3195" w:rsidRPr="005E7B4E" w:rsidRDefault="009E3195" w:rsidP="00895D17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信託實務：保險金信託等</w:t>
            </w:r>
          </w:p>
        </w:tc>
      </w:tr>
      <w:tr w:rsidR="000F1AE9" w:rsidRPr="00EC6572" w14:paraId="57C87CFA" w14:textId="77777777" w:rsidTr="00895D17">
        <w:tc>
          <w:tcPr>
            <w:tcW w:w="552" w:type="dxa"/>
          </w:tcPr>
          <w:p w14:paraId="0E5E8642" w14:textId="1A0A6454" w:rsidR="000F1AE9" w:rsidRPr="00EC6572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10</w:t>
            </w:r>
          </w:p>
        </w:tc>
        <w:tc>
          <w:tcPr>
            <w:tcW w:w="8080" w:type="dxa"/>
          </w:tcPr>
          <w:p w14:paraId="5B5144C7" w14:textId="607C5656" w:rsidR="000F1AE9" w:rsidRPr="005E7B4E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股權及其他財產及權利信託(</w:t>
            </w:r>
            <w:r w:rsidRPr="005E7B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股權信託、特別股與表決權信託)</w:t>
            </w:r>
          </w:p>
        </w:tc>
      </w:tr>
      <w:tr w:rsidR="000F1AE9" w:rsidRPr="00EC6572" w14:paraId="11D9E537" w14:textId="77777777" w:rsidTr="00895D17">
        <w:tc>
          <w:tcPr>
            <w:tcW w:w="552" w:type="dxa"/>
          </w:tcPr>
          <w:p w14:paraId="08F82660" w14:textId="6D8E3272" w:rsidR="000F1AE9" w:rsidRPr="00EC6572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11</w:t>
            </w:r>
          </w:p>
        </w:tc>
        <w:tc>
          <w:tcPr>
            <w:tcW w:w="8080" w:type="dxa"/>
          </w:tcPr>
          <w:p w14:paraId="32E4E2B4" w14:textId="0BBA474C" w:rsidR="000F1AE9" w:rsidRPr="005E7B4E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公益信託</w:t>
            </w:r>
          </w:p>
        </w:tc>
      </w:tr>
      <w:tr w:rsidR="000F1AE9" w:rsidRPr="00EC6572" w14:paraId="140E0C7A" w14:textId="77777777" w:rsidTr="00895D17">
        <w:tc>
          <w:tcPr>
            <w:tcW w:w="552" w:type="dxa"/>
          </w:tcPr>
          <w:p w14:paraId="2E01CFC2" w14:textId="354195E0" w:rsidR="000F1AE9" w:rsidRPr="00EC6572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12</w:t>
            </w:r>
          </w:p>
        </w:tc>
        <w:tc>
          <w:tcPr>
            <w:tcW w:w="8080" w:type="dxa"/>
          </w:tcPr>
          <w:p w14:paraId="168C00F9" w14:textId="7A016AC0" w:rsidR="000F1AE9" w:rsidRPr="005E7B4E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民事受託人實務</w:t>
            </w:r>
          </w:p>
        </w:tc>
      </w:tr>
      <w:tr w:rsidR="000F1AE9" w:rsidRPr="00EC6572" w14:paraId="5B807034" w14:textId="77777777" w:rsidTr="00895D17">
        <w:tc>
          <w:tcPr>
            <w:tcW w:w="552" w:type="dxa"/>
          </w:tcPr>
          <w:p w14:paraId="6F3B2FF1" w14:textId="461F1979" w:rsidR="000F1AE9" w:rsidRPr="00EC6572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>
              <w:rPr>
                <w:rFonts w:ascii="標楷體" w:eastAsia="標楷體" w:hAnsi="標楷體" w:cs="CIDFont+F2" w:hint="eastAsia"/>
                <w:b/>
                <w:bCs/>
                <w:kern w:val="0"/>
              </w:rPr>
              <w:t>13</w:t>
            </w:r>
          </w:p>
        </w:tc>
        <w:tc>
          <w:tcPr>
            <w:tcW w:w="8080" w:type="dxa"/>
          </w:tcPr>
          <w:p w14:paraId="4CAB1CE6" w14:textId="6D2B9A14" w:rsidR="000F1AE9" w:rsidRPr="005E7B4E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信託配套機制及綜合運用：遺囑、</w:t>
            </w:r>
            <w:proofErr w:type="gramStart"/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意定監護</w:t>
            </w:r>
            <w:proofErr w:type="gramEnd"/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等</w:t>
            </w:r>
          </w:p>
        </w:tc>
      </w:tr>
      <w:tr w:rsidR="000F1AE9" w:rsidRPr="00EC6572" w14:paraId="04763BEE" w14:textId="77777777" w:rsidTr="00895D17">
        <w:tc>
          <w:tcPr>
            <w:tcW w:w="552" w:type="dxa"/>
          </w:tcPr>
          <w:p w14:paraId="4F3A4036" w14:textId="3A462B81" w:rsidR="000F1AE9" w:rsidRPr="005E7B4E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14</w:t>
            </w:r>
          </w:p>
        </w:tc>
        <w:tc>
          <w:tcPr>
            <w:tcW w:w="8080" w:type="dxa"/>
          </w:tcPr>
          <w:p w14:paraId="08BE37FB" w14:textId="24569BEC" w:rsidR="000F1AE9" w:rsidRPr="005E7B4E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信託制度之實務運用及發展趨勢</w:t>
            </w:r>
          </w:p>
        </w:tc>
      </w:tr>
      <w:tr w:rsidR="000F1AE9" w:rsidRPr="00EC6572" w14:paraId="6B49F351" w14:textId="77777777" w:rsidTr="00895D17">
        <w:tc>
          <w:tcPr>
            <w:tcW w:w="552" w:type="dxa"/>
          </w:tcPr>
          <w:p w14:paraId="46E5BF3A" w14:textId="6129FC8F" w:rsidR="000F1AE9" w:rsidRPr="005E7B4E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15</w:t>
            </w:r>
          </w:p>
        </w:tc>
        <w:tc>
          <w:tcPr>
            <w:tcW w:w="8080" w:type="dxa"/>
          </w:tcPr>
          <w:p w14:paraId="76E5DC86" w14:textId="29A8859A" w:rsidR="000F1AE9" w:rsidRPr="005E7B4E" w:rsidRDefault="000F1AE9" w:rsidP="000F1AE9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b/>
                <w:bCs/>
                <w:kern w:val="0"/>
              </w:rPr>
            </w:pPr>
            <w:r w:rsidRPr="005E7B4E">
              <w:rPr>
                <w:rFonts w:ascii="標楷體" w:eastAsia="標楷體" w:hAnsi="標楷體" w:cs="CIDFont+F2" w:hint="eastAsia"/>
                <w:b/>
                <w:bCs/>
                <w:kern w:val="0"/>
              </w:rPr>
              <w:t>其他信託相關及新興議題</w:t>
            </w:r>
          </w:p>
        </w:tc>
      </w:tr>
    </w:tbl>
    <w:p w14:paraId="4CC2898B" w14:textId="77777777" w:rsidR="009E3195" w:rsidRPr="00EC6572" w:rsidRDefault="009E3195" w:rsidP="009E31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EC6572">
        <w:rPr>
          <w:rFonts w:ascii="標楷體" w:eastAsia="標楷體" w:hAnsi="標楷體" w:hint="eastAsia"/>
        </w:rPr>
        <w:t>、高齡信託</w:t>
      </w:r>
      <w:bookmarkStart w:id="2" w:name="_Hlk173164821"/>
      <w:r w:rsidRPr="00EC6572">
        <w:rPr>
          <w:rFonts w:ascii="標楷體" w:eastAsia="標楷體" w:hAnsi="標楷體" w:hint="eastAsia"/>
        </w:rPr>
        <w:t>法制、實務與案例</w:t>
      </w:r>
      <w:proofErr w:type="gramStart"/>
      <w:r w:rsidRPr="00EC6572">
        <w:rPr>
          <w:rFonts w:ascii="標楷體" w:eastAsia="標楷體" w:hAnsi="標楷體" w:hint="eastAsia"/>
        </w:rPr>
        <w:t>研</w:t>
      </w:r>
      <w:proofErr w:type="gramEnd"/>
      <w:r w:rsidRPr="00EC6572">
        <w:rPr>
          <w:rFonts w:ascii="標楷體" w:eastAsia="標楷體" w:hAnsi="標楷體" w:hint="eastAsia"/>
        </w:rPr>
        <w:t>析演練：</w:t>
      </w:r>
    </w:p>
    <w:tbl>
      <w:tblPr>
        <w:tblW w:w="8647" w:type="dxa"/>
        <w:tblInd w:w="-2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3"/>
        <w:gridCol w:w="8024"/>
      </w:tblGrid>
      <w:tr w:rsidR="009E3195" w:rsidRPr="00EC6572" w14:paraId="5266AD31" w14:textId="77777777" w:rsidTr="00895D17">
        <w:trPr>
          <w:trHeight w:val="372"/>
        </w:trPr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bookmarkEnd w:id="2"/>
          <w:p w14:paraId="5E236F5D" w14:textId="22CAF0DD" w:rsidR="009E3195" w:rsidRPr="00EC6572" w:rsidRDefault="000F1AE9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2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422C6" w14:textId="77777777" w:rsidR="009E3195" w:rsidRPr="00EC6572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pacing w:val="12"/>
                <w:kern w:val="0"/>
                <w:bdr w:val="none" w:sz="0" w:space="0" w:color="auto" w:frame="1"/>
              </w:rPr>
              <w:t>對高齡者的基本認知</w:t>
            </w:r>
          </w:p>
        </w:tc>
      </w:tr>
      <w:tr w:rsidR="009E3195" w:rsidRPr="00EC6572" w14:paraId="4A290995" w14:textId="77777777" w:rsidTr="00895D17">
        <w:trPr>
          <w:trHeight w:val="372"/>
        </w:trPr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0F1188" w14:textId="5E870BE0" w:rsidR="009E3195" w:rsidRPr="00EC6572" w:rsidRDefault="000F1AE9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2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207B5B" w14:textId="77777777" w:rsidR="009E3195" w:rsidRPr="00EC6572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pacing w:val="12"/>
                <w:kern w:val="0"/>
                <w:bdr w:val="none" w:sz="0" w:space="0" w:color="auto" w:frame="1"/>
              </w:rPr>
              <w:t>高齡者相關法規</w:t>
            </w:r>
            <w:r w:rsidRPr="00EC6572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12"/>
                <w:kern w:val="0"/>
                <w:bdr w:val="none" w:sz="0" w:space="0" w:color="auto" w:frame="1"/>
              </w:rPr>
              <w:t xml:space="preserve"> </w:t>
            </w:r>
          </w:p>
        </w:tc>
      </w:tr>
      <w:tr w:rsidR="009E3195" w:rsidRPr="00EC6572" w14:paraId="03514A3B" w14:textId="77777777" w:rsidTr="00895D17">
        <w:trPr>
          <w:trHeight w:val="372"/>
        </w:trPr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616376" w14:textId="7DDF760D" w:rsidR="009E3195" w:rsidRPr="00EC6572" w:rsidRDefault="000F1AE9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2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16089" w14:textId="77777777" w:rsidR="009E3195" w:rsidRPr="00EC6572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  <w:t>高齡金融相關商品</w:t>
            </w:r>
            <w:r w:rsidRPr="00EC6572">
              <w:rPr>
                <w:rFonts w:ascii="標楷體" w:eastAsia="標楷體" w:hAnsi="標楷體" w:cs="新細明體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  <w:t xml:space="preserve"> </w:t>
            </w:r>
          </w:p>
        </w:tc>
      </w:tr>
      <w:tr w:rsidR="009E3195" w:rsidRPr="00EC6572" w14:paraId="40E181F8" w14:textId="77777777" w:rsidTr="00895D17">
        <w:trPr>
          <w:trHeight w:val="372"/>
        </w:trPr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96078" w14:textId="00C0BD39" w:rsidR="009E3195" w:rsidRPr="00EC6572" w:rsidRDefault="000F1AE9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2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6CDC9" w14:textId="4E939ED4" w:rsidR="009E3195" w:rsidRPr="00EC6572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  <w:t>安養信託契約重要內容解析</w:t>
            </w:r>
            <w:r w:rsidRPr="00EC6572">
              <w:rPr>
                <w:rFonts w:ascii="標楷體" w:eastAsia="標楷體" w:hAnsi="標楷體" w:cs="新細明體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  <w:t xml:space="preserve"> </w:t>
            </w:r>
          </w:p>
        </w:tc>
      </w:tr>
      <w:tr w:rsidR="009E3195" w:rsidRPr="00EC6572" w14:paraId="05808447" w14:textId="77777777" w:rsidTr="00895D17">
        <w:trPr>
          <w:trHeight w:val="354"/>
        </w:trPr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43DAF1" w14:textId="7D27E7C7" w:rsidR="009E3195" w:rsidRPr="00EC6572" w:rsidRDefault="000F1AE9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2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30CD8" w14:textId="77777777" w:rsidR="009E3195" w:rsidRPr="00EC6572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  <w:t>高齡信託相關課稅規定及信託實務</w:t>
            </w:r>
            <w:r w:rsidRPr="00EC6572">
              <w:rPr>
                <w:rFonts w:ascii="標楷體" w:eastAsia="標楷體" w:hAnsi="標楷體" w:cs="新細明體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  <w:t xml:space="preserve"> </w:t>
            </w:r>
          </w:p>
        </w:tc>
      </w:tr>
      <w:tr w:rsidR="009E3195" w:rsidRPr="00EC6572" w14:paraId="14DFCDC1" w14:textId="77777777" w:rsidTr="00895D17">
        <w:trPr>
          <w:trHeight w:val="372"/>
        </w:trPr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5F480C" w14:textId="7EF3C6B6" w:rsidR="009E3195" w:rsidRPr="00EC6572" w:rsidRDefault="000F1AE9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2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BCD4D" w14:textId="77777777" w:rsidR="009E3195" w:rsidRPr="00EC6572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333333"/>
                <w:spacing w:val="12"/>
                <w:kern w:val="0"/>
                <w:bdr w:val="none" w:sz="0" w:space="0" w:color="auto" w:frame="1"/>
              </w:rPr>
              <w:t>高齡金融規劃案例研討</w:t>
            </w:r>
          </w:p>
        </w:tc>
      </w:tr>
      <w:tr w:rsidR="009E3195" w:rsidRPr="00EC6572" w14:paraId="4B9412E8" w14:textId="77777777" w:rsidTr="00895D17">
        <w:trPr>
          <w:trHeight w:val="372"/>
        </w:trPr>
        <w:tc>
          <w:tcPr>
            <w:tcW w:w="6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E5233A" w14:textId="691B1E70" w:rsidR="009E3195" w:rsidRPr="005E7B4E" w:rsidRDefault="000F1AE9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7B4E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02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85582A" w14:textId="77777777" w:rsidR="009E3195" w:rsidRPr="005E7B4E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spacing w:val="12"/>
                <w:kern w:val="0"/>
                <w:bdr w:val="none" w:sz="0" w:space="0" w:color="auto" w:frame="1"/>
              </w:rPr>
            </w:pPr>
            <w:r w:rsidRPr="005E7B4E">
              <w:rPr>
                <w:rFonts w:ascii="標楷體" w:eastAsia="標楷體" w:hAnsi="標楷體" w:cs="新細明體" w:hint="eastAsia"/>
                <w:b/>
                <w:bCs/>
                <w:spacing w:val="12"/>
                <w:kern w:val="0"/>
                <w:bdr w:val="none" w:sz="0" w:space="0" w:color="auto" w:frame="1"/>
              </w:rPr>
              <w:t>社福機構及跨業結合實務</w:t>
            </w:r>
          </w:p>
        </w:tc>
      </w:tr>
    </w:tbl>
    <w:p w14:paraId="0AA62B59" w14:textId="77777777" w:rsidR="009E3195" w:rsidRPr="005E7B4E" w:rsidRDefault="009E3195" w:rsidP="009E3195">
      <w:pPr>
        <w:rPr>
          <w:rFonts w:ascii="微軟正黑體" w:eastAsia="微軟正黑體" w:hAnsi="微軟正黑體"/>
          <w:b/>
          <w:bCs/>
        </w:rPr>
      </w:pPr>
      <w:r w:rsidRPr="005E7B4E">
        <w:rPr>
          <w:rFonts w:ascii="微軟正黑體" w:eastAsia="微軟正黑體" w:hAnsi="微軟正黑體" w:hint="eastAsia"/>
          <w:b/>
          <w:bCs/>
        </w:rPr>
        <w:t>三、</w:t>
      </w:r>
      <w:bookmarkStart w:id="3" w:name="_Hlk173507442"/>
      <w:r w:rsidRPr="005E7B4E">
        <w:rPr>
          <w:rFonts w:ascii="微軟正黑體" w:eastAsia="微軟正黑體" w:hAnsi="微軟正黑體" w:hint="eastAsia"/>
          <w:b/>
          <w:bCs/>
        </w:rPr>
        <w:t>身心障礙者信託法制、實務與案例</w:t>
      </w:r>
      <w:proofErr w:type="gramStart"/>
      <w:r w:rsidRPr="005E7B4E">
        <w:rPr>
          <w:rFonts w:ascii="微軟正黑體" w:eastAsia="微軟正黑體" w:hAnsi="微軟正黑體" w:hint="eastAsia"/>
          <w:b/>
          <w:bCs/>
        </w:rPr>
        <w:t>研</w:t>
      </w:r>
      <w:proofErr w:type="gramEnd"/>
      <w:r w:rsidRPr="005E7B4E">
        <w:rPr>
          <w:rFonts w:ascii="微軟正黑體" w:eastAsia="微軟正黑體" w:hAnsi="微軟正黑體" w:hint="eastAsia"/>
          <w:b/>
          <w:bCs/>
        </w:rPr>
        <w:t>析演練</w:t>
      </w:r>
      <w:bookmarkEnd w:id="3"/>
      <w:r w:rsidRPr="005E7B4E">
        <w:rPr>
          <w:rFonts w:ascii="微軟正黑體" w:eastAsia="微軟正黑體" w:hAnsi="微軟正黑體" w:hint="eastAsia"/>
          <w:b/>
          <w:bCs/>
        </w:rPr>
        <w:t>：</w:t>
      </w:r>
    </w:p>
    <w:tbl>
      <w:tblPr>
        <w:tblW w:w="864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3"/>
        <w:gridCol w:w="8124"/>
      </w:tblGrid>
      <w:tr w:rsidR="005E7B4E" w:rsidRPr="005E7B4E" w14:paraId="6E22B4EC" w14:textId="77777777" w:rsidTr="00895D17">
        <w:trPr>
          <w:trHeight w:val="404"/>
        </w:trPr>
        <w:tc>
          <w:tcPr>
            <w:tcW w:w="523" w:type="dxa"/>
            <w:vAlign w:val="center"/>
          </w:tcPr>
          <w:p w14:paraId="23D99960" w14:textId="77777777" w:rsidR="009E3195" w:rsidRPr="005E7B4E" w:rsidRDefault="009E3195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7B4E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124" w:type="dxa"/>
            <w:vAlign w:val="center"/>
          </w:tcPr>
          <w:p w14:paraId="6DDDB982" w14:textId="77777777" w:rsidR="009E3195" w:rsidRPr="005E7B4E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spacing w:val="12"/>
                <w:kern w:val="0"/>
                <w:bdr w:val="none" w:sz="0" w:space="0" w:color="auto" w:frame="1"/>
              </w:rPr>
            </w:pPr>
            <w:r w:rsidRPr="005E7B4E">
              <w:rPr>
                <w:rFonts w:ascii="標楷體" w:eastAsia="標楷體" w:hAnsi="標楷體" w:cs="新細明體" w:hint="eastAsia"/>
                <w:b/>
                <w:bCs/>
                <w:spacing w:val="12"/>
                <w:kern w:val="0"/>
                <w:bdr w:val="none" w:sz="0" w:space="0" w:color="auto" w:frame="1"/>
              </w:rPr>
              <w:t>對身心障礙者的基本認知</w:t>
            </w:r>
          </w:p>
        </w:tc>
      </w:tr>
      <w:tr w:rsidR="005E7B4E" w:rsidRPr="005E7B4E" w14:paraId="5D86B3AD" w14:textId="77777777" w:rsidTr="00895D17">
        <w:trPr>
          <w:trHeight w:val="240"/>
        </w:trPr>
        <w:tc>
          <w:tcPr>
            <w:tcW w:w="523" w:type="dxa"/>
            <w:vAlign w:val="center"/>
          </w:tcPr>
          <w:p w14:paraId="4483B5F3" w14:textId="77777777" w:rsidR="009E3195" w:rsidRPr="005E7B4E" w:rsidRDefault="009E3195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7B4E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124" w:type="dxa"/>
            <w:vAlign w:val="center"/>
          </w:tcPr>
          <w:p w14:paraId="0BE7FAA1" w14:textId="77777777" w:rsidR="009E3195" w:rsidRPr="005E7B4E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spacing w:val="12"/>
                <w:kern w:val="0"/>
                <w:bdr w:val="none" w:sz="0" w:space="0" w:color="auto" w:frame="1"/>
              </w:rPr>
            </w:pPr>
            <w:r w:rsidRPr="005E7B4E">
              <w:rPr>
                <w:rFonts w:ascii="標楷體" w:eastAsia="標楷體" w:hAnsi="標楷體" w:cs="新細明體" w:hint="eastAsia"/>
                <w:b/>
                <w:bCs/>
                <w:spacing w:val="12"/>
                <w:kern w:val="0"/>
                <w:bdr w:val="none" w:sz="0" w:space="0" w:color="auto" w:frame="1"/>
              </w:rPr>
              <w:t>身心障礙者相關法規</w:t>
            </w:r>
            <w:r w:rsidRPr="005E7B4E">
              <w:rPr>
                <w:rFonts w:ascii="標楷體" w:eastAsia="標楷體" w:hAnsi="標楷體" w:cs="新細明體"/>
                <w:b/>
                <w:bCs/>
                <w:spacing w:val="12"/>
                <w:kern w:val="0"/>
                <w:bdr w:val="none" w:sz="0" w:space="0" w:color="auto" w:frame="1"/>
              </w:rPr>
              <w:t xml:space="preserve"> </w:t>
            </w:r>
          </w:p>
        </w:tc>
      </w:tr>
      <w:tr w:rsidR="005E7B4E" w:rsidRPr="005E7B4E" w14:paraId="1599C689" w14:textId="77777777" w:rsidTr="00895D17">
        <w:trPr>
          <w:trHeight w:val="274"/>
        </w:trPr>
        <w:tc>
          <w:tcPr>
            <w:tcW w:w="523" w:type="dxa"/>
            <w:vAlign w:val="center"/>
          </w:tcPr>
          <w:p w14:paraId="13A7CEBD" w14:textId="77777777" w:rsidR="009E3195" w:rsidRPr="005E7B4E" w:rsidRDefault="009E3195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7B4E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124" w:type="dxa"/>
            <w:vAlign w:val="center"/>
          </w:tcPr>
          <w:p w14:paraId="27B2E8CD" w14:textId="77777777" w:rsidR="009E3195" w:rsidRPr="005E7B4E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spacing w:val="12"/>
                <w:kern w:val="0"/>
                <w:bdr w:val="none" w:sz="0" w:space="0" w:color="auto" w:frame="1"/>
              </w:rPr>
            </w:pPr>
            <w:r w:rsidRPr="005E7B4E">
              <w:rPr>
                <w:rFonts w:ascii="標楷體" w:eastAsia="標楷體" w:hAnsi="標楷體" w:cs="新細明體" w:hint="eastAsia"/>
                <w:b/>
                <w:bCs/>
                <w:spacing w:val="12"/>
                <w:kern w:val="0"/>
                <w:bdr w:val="none" w:sz="0" w:space="0" w:color="auto" w:frame="1"/>
              </w:rPr>
              <w:t>身心障礙者信託規劃與實務</w:t>
            </w:r>
          </w:p>
        </w:tc>
      </w:tr>
      <w:tr w:rsidR="005E7B4E" w:rsidRPr="005E7B4E" w14:paraId="3DFA49A2" w14:textId="77777777" w:rsidTr="00895D17">
        <w:trPr>
          <w:trHeight w:val="280"/>
        </w:trPr>
        <w:tc>
          <w:tcPr>
            <w:tcW w:w="523" w:type="dxa"/>
            <w:vAlign w:val="center"/>
          </w:tcPr>
          <w:p w14:paraId="476222E0" w14:textId="77777777" w:rsidR="009E3195" w:rsidRPr="005E7B4E" w:rsidRDefault="009E3195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7B4E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124" w:type="dxa"/>
            <w:vAlign w:val="center"/>
          </w:tcPr>
          <w:p w14:paraId="1AE0D28E" w14:textId="77777777" w:rsidR="009E3195" w:rsidRPr="005E7B4E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spacing w:val="12"/>
                <w:kern w:val="0"/>
                <w:bdr w:val="none" w:sz="0" w:space="0" w:color="auto" w:frame="1"/>
              </w:rPr>
            </w:pPr>
            <w:r w:rsidRPr="005E7B4E">
              <w:rPr>
                <w:rFonts w:ascii="標楷體" w:eastAsia="標楷體" w:hAnsi="標楷體" w:cs="新細明體" w:hint="eastAsia"/>
                <w:b/>
                <w:bCs/>
                <w:spacing w:val="12"/>
                <w:kern w:val="0"/>
                <w:bdr w:val="none" w:sz="0" w:space="0" w:color="auto" w:frame="1"/>
              </w:rPr>
              <w:t>律師擔任身心障礙者信託監察人實務</w:t>
            </w:r>
          </w:p>
        </w:tc>
      </w:tr>
      <w:tr w:rsidR="005E7B4E" w:rsidRPr="005E7B4E" w14:paraId="07643149" w14:textId="77777777" w:rsidTr="00895D17">
        <w:trPr>
          <w:trHeight w:val="172"/>
        </w:trPr>
        <w:tc>
          <w:tcPr>
            <w:tcW w:w="523" w:type="dxa"/>
            <w:vAlign w:val="center"/>
          </w:tcPr>
          <w:p w14:paraId="45E7A098" w14:textId="77777777" w:rsidR="009E3195" w:rsidRPr="005E7B4E" w:rsidRDefault="009E3195" w:rsidP="00895D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7B4E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8124" w:type="dxa"/>
            <w:vAlign w:val="center"/>
          </w:tcPr>
          <w:p w14:paraId="6208D1C4" w14:textId="77777777" w:rsidR="009E3195" w:rsidRPr="005E7B4E" w:rsidRDefault="009E3195" w:rsidP="00895D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spacing w:val="12"/>
                <w:kern w:val="0"/>
                <w:bdr w:val="none" w:sz="0" w:space="0" w:color="auto" w:frame="1"/>
              </w:rPr>
            </w:pPr>
            <w:r w:rsidRPr="005E7B4E">
              <w:rPr>
                <w:rFonts w:ascii="標楷體" w:eastAsia="標楷體" w:hAnsi="標楷體" w:cs="新細明體" w:hint="eastAsia"/>
                <w:b/>
                <w:bCs/>
                <w:spacing w:val="12"/>
                <w:kern w:val="0"/>
                <w:bdr w:val="none" w:sz="0" w:space="0" w:color="auto" w:frame="1"/>
              </w:rPr>
              <w:t>身心障礙者財產規劃案例研討</w:t>
            </w:r>
          </w:p>
        </w:tc>
      </w:tr>
    </w:tbl>
    <w:p w14:paraId="29C37245" w14:textId="77777777" w:rsidR="009E3195" w:rsidRPr="005E7B4E" w:rsidRDefault="009E3195" w:rsidP="009E3195">
      <w:pPr>
        <w:rPr>
          <w:rFonts w:ascii="標楷體" w:eastAsia="標楷體" w:hAnsi="標楷體"/>
        </w:rPr>
      </w:pPr>
      <w:r w:rsidRPr="005E7B4E">
        <w:rPr>
          <w:rFonts w:ascii="標楷體" w:eastAsia="標楷體" w:hAnsi="標楷體" w:hint="eastAsia"/>
        </w:rPr>
        <w:lastRenderedPageBreak/>
        <w:t>四、家族信託法制、實務與案例</w:t>
      </w:r>
      <w:proofErr w:type="gramStart"/>
      <w:r w:rsidRPr="005E7B4E">
        <w:rPr>
          <w:rFonts w:ascii="標楷體" w:eastAsia="標楷體" w:hAnsi="標楷體" w:hint="eastAsia"/>
        </w:rPr>
        <w:t>研</w:t>
      </w:r>
      <w:proofErr w:type="gramEnd"/>
      <w:r w:rsidRPr="005E7B4E">
        <w:rPr>
          <w:rFonts w:ascii="標楷體" w:eastAsia="標楷體" w:hAnsi="標楷體" w:hint="eastAsia"/>
        </w:rPr>
        <w:t>析演練：</w:t>
      </w:r>
    </w:p>
    <w:tbl>
      <w:tblPr>
        <w:tblW w:w="864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8080"/>
      </w:tblGrid>
      <w:tr w:rsidR="009E3195" w:rsidRPr="00EC6572" w14:paraId="209403C7" w14:textId="77777777" w:rsidTr="00895D17">
        <w:trPr>
          <w:trHeight w:val="659"/>
        </w:trPr>
        <w:tc>
          <w:tcPr>
            <w:tcW w:w="567" w:type="dxa"/>
            <w:vAlign w:val="center"/>
          </w:tcPr>
          <w:p w14:paraId="53687527" w14:textId="28734DD3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080" w:type="dxa"/>
            <w:vAlign w:val="center"/>
          </w:tcPr>
          <w:p w14:paraId="6963467C" w14:textId="1664804B" w:rsidR="009E3195" w:rsidRPr="00EC6572" w:rsidRDefault="000F1AE9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家族信託相關課稅規定及信託</w:t>
            </w:r>
          </w:p>
        </w:tc>
      </w:tr>
      <w:tr w:rsidR="009E3195" w:rsidRPr="00EC6572" w14:paraId="2ABC9AA7" w14:textId="77777777" w:rsidTr="00895D17">
        <w:trPr>
          <w:trHeight w:val="648"/>
        </w:trPr>
        <w:tc>
          <w:tcPr>
            <w:tcW w:w="567" w:type="dxa"/>
            <w:vAlign w:val="center"/>
          </w:tcPr>
          <w:p w14:paraId="7CDF9987" w14:textId="6A7D6DAB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080" w:type="dxa"/>
            <w:vAlign w:val="center"/>
          </w:tcPr>
          <w:p w14:paraId="2911CB9A" w14:textId="28D53524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實務</w:t>
            </w:r>
            <w:r w:rsidR="000F1AE9"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常見境外信託實務操作</w:t>
            </w:r>
          </w:p>
        </w:tc>
      </w:tr>
      <w:tr w:rsidR="009E3195" w:rsidRPr="00EC6572" w14:paraId="3B72927F" w14:textId="77777777" w:rsidTr="00895D17">
        <w:trPr>
          <w:trHeight w:val="480"/>
        </w:trPr>
        <w:tc>
          <w:tcPr>
            <w:tcW w:w="567" w:type="dxa"/>
            <w:vMerge w:val="restart"/>
            <w:vAlign w:val="center"/>
          </w:tcPr>
          <w:p w14:paraId="7F76A67F" w14:textId="68E5270A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080" w:type="dxa"/>
            <w:vMerge w:val="restart"/>
            <w:vAlign w:val="center"/>
          </w:tcPr>
          <w:p w14:paraId="05DE47BB" w14:textId="77777777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家族憲章-家族治理的平</w:t>
            </w:r>
            <w:proofErr w:type="gramStart"/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臺</w:t>
            </w:r>
            <w:proofErr w:type="gramEnd"/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與機制</w:t>
            </w:r>
          </w:p>
        </w:tc>
      </w:tr>
      <w:tr w:rsidR="009E3195" w:rsidRPr="00EC6572" w14:paraId="7171BFC5" w14:textId="77777777" w:rsidTr="00895D17">
        <w:trPr>
          <w:trHeight w:val="480"/>
        </w:trPr>
        <w:tc>
          <w:tcPr>
            <w:tcW w:w="567" w:type="dxa"/>
            <w:vMerge/>
            <w:vAlign w:val="center"/>
          </w:tcPr>
          <w:p w14:paraId="356AE981" w14:textId="77777777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080" w:type="dxa"/>
            <w:vMerge/>
            <w:vAlign w:val="center"/>
          </w:tcPr>
          <w:p w14:paraId="618CCBC2" w14:textId="77777777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9E3195" w:rsidRPr="00EC6572" w14:paraId="5F644368" w14:textId="77777777" w:rsidTr="00895D17">
        <w:trPr>
          <w:trHeight w:val="480"/>
        </w:trPr>
        <w:tc>
          <w:tcPr>
            <w:tcW w:w="567" w:type="dxa"/>
            <w:vAlign w:val="center"/>
          </w:tcPr>
          <w:p w14:paraId="33D6D0CB" w14:textId="3A179661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8080" w:type="dxa"/>
            <w:vAlign w:val="center"/>
          </w:tcPr>
          <w:p w14:paraId="5314C8B2" w14:textId="77777777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家族辦公室</w:t>
            </w:r>
          </w:p>
        </w:tc>
      </w:tr>
      <w:tr w:rsidR="009E3195" w:rsidRPr="00EC6572" w14:paraId="6FF554B0" w14:textId="77777777" w:rsidTr="00895D17">
        <w:trPr>
          <w:trHeight w:val="372"/>
        </w:trPr>
        <w:tc>
          <w:tcPr>
            <w:tcW w:w="567" w:type="dxa"/>
            <w:vAlign w:val="center"/>
          </w:tcPr>
          <w:p w14:paraId="247AD875" w14:textId="35F0E8B9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080" w:type="dxa"/>
            <w:vAlign w:val="center"/>
          </w:tcPr>
          <w:p w14:paraId="17CEB4A8" w14:textId="77777777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閉鎖性公司與家族信託於家族傳承的運用</w:t>
            </w:r>
          </w:p>
        </w:tc>
      </w:tr>
      <w:tr w:rsidR="009E3195" w:rsidRPr="00EC6572" w14:paraId="78C108E9" w14:textId="77777777" w:rsidTr="00895D17">
        <w:trPr>
          <w:trHeight w:val="372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A41651" w14:textId="761CC0BE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0F8EDA1" w14:textId="612A2250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家族信託</w:t>
            </w:r>
            <w:r w:rsidRPr="005E7B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規劃及</w:t>
            </w: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模式</w:t>
            </w:r>
          </w:p>
        </w:tc>
      </w:tr>
      <w:tr w:rsidR="009E3195" w:rsidRPr="00EC6572" w14:paraId="1CDB8FEE" w14:textId="77777777" w:rsidTr="00895D17">
        <w:trPr>
          <w:trHeight w:val="372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07FC12B" w14:textId="481B3A6D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223F19" w14:textId="77777777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家庭財富傳承及高資產信託規劃運用</w:t>
            </w:r>
          </w:p>
        </w:tc>
      </w:tr>
      <w:tr w:rsidR="009E3195" w:rsidRPr="00EC6572" w14:paraId="0362AD5A" w14:textId="77777777" w:rsidTr="00895D17">
        <w:trPr>
          <w:trHeight w:val="372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2D5BE1" w14:textId="579D35BF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2A85FB" w14:textId="748AE334" w:rsidR="009E3195" w:rsidRPr="00EC6572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C657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家族信託個案研討</w:t>
            </w:r>
          </w:p>
        </w:tc>
      </w:tr>
      <w:tr w:rsidR="009E3195" w:rsidRPr="00EC6572" w14:paraId="22324B9C" w14:textId="77777777" w:rsidTr="00895D17">
        <w:trPr>
          <w:trHeight w:val="372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A10DE3" w14:textId="4523CB89" w:rsidR="009E3195" w:rsidRPr="00EC6572" w:rsidRDefault="000F1AE9" w:rsidP="00895D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8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9EC682" w14:textId="77777777" w:rsidR="009E3195" w:rsidRPr="007E25BA" w:rsidRDefault="009E3195" w:rsidP="00895D17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dstrike/>
                <w:color w:val="FF0000"/>
                <w:kern w:val="0"/>
              </w:rPr>
            </w:pPr>
            <w:r w:rsidRPr="005E7B4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境外信託管轄權及稅務研討</w:t>
            </w:r>
          </w:p>
        </w:tc>
      </w:tr>
    </w:tbl>
    <w:p w14:paraId="7E8B662D" w14:textId="77777777" w:rsidR="009E3195" w:rsidRPr="005857A4" w:rsidRDefault="009E3195" w:rsidP="009E3195">
      <w:pPr>
        <w:spacing w:line="360" w:lineRule="auto"/>
        <w:jc w:val="both"/>
        <w:outlineLvl w:val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肆、</w:t>
      </w:r>
      <w:r w:rsidRPr="005857A4">
        <w:rPr>
          <w:rFonts w:ascii="Times New Roman" w:eastAsia="標楷體" w:hAnsi="Times New Roman" w:cs="Times New Roman"/>
          <w:b/>
          <w:bCs/>
        </w:rPr>
        <w:t>課</w:t>
      </w:r>
      <w:r>
        <w:rPr>
          <w:rFonts w:ascii="Times New Roman" w:eastAsia="標楷體" w:hAnsi="Times New Roman" w:cs="Times New Roman" w:hint="eastAsia"/>
          <w:b/>
          <w:bCs/>
        </w:rPr>
        <w:t>程規則</w:t>
      </w:r>
    </w:p>
    <w:p w14:paraId="44DBC9A1" w14:textId="77777777" w:rsidR="009E3195" w:rsidRPr="00DA7B54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DA7B54">
        <w:rPr>
          <w:rFonts w:ascii="Times New Roman" w:eastAsia="標楷體" w:hAnsi="Times New Roman" w:cs="Times New Roman" w:hint="eastAsia"/>
        </w:rPr>
        <w:t>個人會員參加</w:t>
      </w:r>
      <w:proofErr w:type="gramStart"/>
      <w:r>
        <w:rPr>
          <w:rFonts w:ascii="Times New Roman" w:eastAsia="標楷體" w:hAnsi="Times New Roman" w:cs="Times New Roman" w:hint="eastAsia"/>
        </w:rPr>
        <w:t>本課綱之</w:t>
      </w:r>
      <w:proofErr w:type="gramEnd"/>
      <w:r>
        <w:rPr>
          <w:rFonts w:ascii="Times New Roman" w:eastAsia="標楷體" w:hAnsi="Times New Roman" w:cs="Times New Roman" w:hint="eastAsia"/>
        </w:rPr>
        <w:t>課程</w:t>
      </w:r>
      <w:r w:rsidRPr="00DA7B54">
        <w:rPr>
          <w:rFonts w:ascii="Times New Roman" w:eastAsia="標楷體" w:hAnsi="Times New Roman" w:cs="Times New Roman" w:hint="eastAsia"/>
        </w:rPr>
        <w:t>或其他經</w:t>
      </w:r>
      <w:r w:rsidRPr="00544D79">
        <w:rPr>
          <w:rFonts w:ascii="Times New Roman" w:eastAsia="標楷體" w:hAnsi="Times New Roman" w:cs="Times New Roman" w:hint="eastAsia"/>
        </w:rPr>
        <w:t>全國律師聯合會</w:t>
      </w:r>
      <w:r w:rsidRPr="00DA7B54">
        <w:rPr>
          <w:rFonts w:ascii="Times New Roman" w:eastAsia="標楷體" w:hAnsi="Times New Roman" w:cs="Times New Roman" w:hint="eastAsia"/>
        </w:rPr>
        <w:t>認定</w:t>
      </w:r>
      <w:proofErr w:type="gramStart"/>
      <w:r w:rsidRPr="00DA7B54">
        <w:rPr>
          <w:rFonts w:ascii="Times New Roman" w:eastAsia="標楷體" w:hAnsi="Times New Roman" w:cs="Times New Roman" w:hint="eastAsia"/>
        </w:rPr>
        <w:t>符合課綱之</w:t>
      </w:r>
      <w:proofErr w:type="gramEnd"/>
      <w:r w:rsidRPr="00DA7B54">
        <w:rPr>
          <w:rFonts w:ascii="Times New Roman" w:eastAsia="標楷體" w:hAnsi="Times New Roman" w:cs="Times New Roman" w:hint="eastAsia"/>
        </w:rPr>
        <w:t>專業領域進修課程，且符合下列條件之</w:t>
      </w:r>
      <w:proofErr w:type="gramStart"/>
      <w:r w:rsidRPr="00DA7B54">
        <w:rPr>
          <w:rFonts w:ascii="Times New Roman" w:eastAsia="標楷體" w:hAnsi="Times New Roman" w:cs="Times New Roman" w:hint="eastAsia"/>
        </w:rPr>
        <w:t>一</w:t>
      </w:r>
      <w:proofErr w:type="gramEnd"/>
      <w:r w:rsidRPr="00DA7B54">
        <w:rPr>
          <w:rFonts w:ascii="Times New Roman" w:eastAsia="標楷體" w:hAnsi="Times New Roman" w:cs="Times New Roman" w:hint="eastAsia"/>
        </w:rPr>
        <w:t>者，得向</w:t>
      </w:r>
      <w:r w:rsidRPr="00544D79">
        <w:rPr>
          <w:rFonts w:ascii="Times New Roman" w:eastAsia="標楷體" w:hAnsi="Times New Roman" w:cs="Times New Roman" w:hint="eastAsia"/>
        </w:rPr>
        <w:t>全國律師聯合會</w:t>
      </w:r>
      <w:r w:rsidRPr="00DA7B54">
        <w:rPr>
          <w:rFonts w:ascii="Times New Roman" w:eastAsia="標楷體" w:hAnsi="Times New Roman" w:cs="Times New Roman" w:hint="eastAsia"/>
        </w:rPr>
        <w:t>請領</w:t>
      </w:r>
      <w:r>
        <w:rPr>
          <w:rFonts w:ascii="Times New Roman" w:eastAsia="標楷體" w:hAnsi="Times New Roman" w:cs="Times New Roman" w:hint="eastAsia"/>
        </w:rPr>
        <w:t>「信託</w:t>
      </w:r>
      <w:r w:rsidRPr="004A6B9D">
        <w:rPr>
          <w:rFonts w:ascii="Times New Roman" w:eastAsia="標楷體" w:hAnsi="Times New Roman" w:cs="Times New Roman" w:hint="eastAsia"/>
        </w:rPr>
        <w:t>法律</w:t>
      </w:r>
      <w:r w:rsidRPr="00DA7B54">
        <w:rPr>
          <w:rFonts w:ascii="Times New Roman" w:eastAsia="標楷體" w:hAnsi="Times New Roman" w:cs="Times New Roman" w:hint="eastAsia"/>
        </w:rPr>
        <w:t>專業領域</w:t>
      </w:r>
      <w:r>
        <w:rPr>
          <w:rFonts w:ascii="Times New Roman" w:eastAsia="標楷體" w:hAnsi="Times New Roman" w:cs="Times New Roman" w:hint="eastAsia"/>
        </w:rPr>
        <w:t>」</w:t>
      </w:r>
      <w:r w:rsidRPr="00DA7B54">
        <w:rPr>
          <w:rFonts w:ascii="Times New Roman" w:eastAsia="標楷體" w:hAnsi="Times New Roman" w:cs="Times New Roman" w:hint="eastAsia"/>
        </w:rPr>
        <w:t>進修證明：</w:t>
      </w:r>
    </w:p>
    <w:p w14:paraId="3ED2F3F0" w14:textId="77777777" w:rsidR="009E3195" w:rsidRPr="00DA7B54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DA7B54">
        <w:rPr>
          <w:rFonts w:ascii="Times New Roman" w:eastAsia="標楷體" w:hAnsi="Times New Roman" w:cs="Times New Roman" w:hint="eastAsia"/>
        </w:rPr>
        <w:t>一、參加同一專業領域進修科目之課程，</w:t>
      </w:r>
      <w:proofErr w:type="gramStart"/>
      <w:r w:rsidRPr="00DA7B54">
        <w:rPr>
          <w:rFonts w:ascii="Times New Roman" w:eastAsia="標楷體" w:hAnsi="Times New Roman" w:cs="Times New Roman" w:hint="eastAsia"/>
        </w:rPr>
        <w:t>一</w:t>
      </w:r>
      <w:proofErr w:type="gramEnd"/>
      <w:r w:rsidRPr="00DA7B54">
        <w:rPr>
          <w:rFonts w:ascii="Times New Roman" w:eastAsia="標楷體" w:hAnsi="Times New Roman" w:cs="Times New Roman" w:hint="eastAsia"/>
        </w:rPr>
        <w:t>年內達四十小時以上者。</w:t>
      </w:r>
    </w:p>
    <w:p w14:paraId="3DE51ED8" w14:textId="77777777" w:rsidR="009E3195" w:rsidRPr="00DA7B54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DA7B54">
        <w:rPr>
          <w:rFonts w:ascii="Times New Roman" w:eastAsia="標楷體" w:hAnsi="Times New Roman" w:cs="Times New Roman" w:hint="eastAsia"/>
        </w:rPr>
        <w:t>二、參加同一專業領域進修科目之課程，二年內達六十小時以上者。</w:t>
      </w:r>
    </w:p>
    <w:p w14:paraId="19DD2A73" w14:textId="77777777" w:rsidR="009E3195" w:rsidRPr="00DA7B54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DA7B54">
        <w:rPr>
          <w:rFonts w:ascii="Times New Roman" w:eastAsia="標楷體" w:hAnsi="Times New Roman" w:cs="Times New Roman" w:hint="eastAsia"/>
        </w:rPr>
        <w:t>三、參加同一專業領域進修科目之課程，三年內達八十小時以上者。</w:t>
      </w:r>
    </w:p>
    <w:p w14:paraId="54B2396B" w14:textId="77777777" w:rsidR="009E3195" w:rsidRPr="00DA7B54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DA7B54">
        <w:rPr>
          <w:rFonts w:ascii="Times New Roman" w:eastAsia="標楷體" w:hAnsi="Times New Roman" w:cs="Times New Roman" w:hint="eastAsia"/>
        </w:rPr>
        <w:t>前項所稱一年，以個人會員參加該專業領域進修課程第一次授課期日起算。</w:t>
      </w:r>
    </w:p>
    <w:p w14:paraId="5451AE30" w14:textId="77777777" w:rsidR="009E3195" w:rsidRPr="00DA7B54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DA7B54">
        <w:rPr>
          <w:rFonts w:ascii="Times New Roman" w:eastAsia="標楷體" w:hAnsi="Times New Roman" w:cs="Times New Roman" w:hint="eastAsia"/>
        </w:rPr>
        <w:t>其時數之</w:t>
      </w:r>
      <w:proofErr w:type="gramStart"/>
      <w:r w:rsidRPr="00DA7B54">
        <w:rPr>
          <w:rFonts w:ascii="Times New Roman" w:eastAsia="標楷體" w:hAnsi="Times New Roman" w:cs="Times New Roman" w:hint="eastAsia"/>
        </w:rPr>
        <w:t>採</w:t>
      </w:r>
      <w:proofErr w:type="gramEnd"/>
      <w:r w:rsidRPr="00DA7B54">
        <w:rPr>
          <w:rFonts w:ascii="Times New Roman" w:eastAsia="標楷體" w:hAnsi="Times New Roman" w:cs="Times New Roman" w:hint="eastAsia"/>
        </w:rPr>
        <w:t>計標準，適用</w:t>
      </w:r>
      <w:r w:rsidRPr="00544D79">
        <w:rPr>
          <w:rFonts w:ascii="Times New Roman" w:eastAsia="標楷體" w:hAnsi="Times New Roman" w:cs="Times New Roman" w:hint="eastAsia"/>
        </w:rPr>
        <w:t>全國律師聯合會</w:t>
      </w:r>
      <w:r w:rsidRPr="00DA7B54">
        <w:rPr>
          <w:rFonts w:ascii="Times New Roman" w:eastAsia="標楷體" w:hAnsi="Times New Roman" w:cs="Times New Roman" w:hint="eastAsia"/>
        </w:rPr>
        <w:t>「律師在職進修辦法」第四條規定。</w:t>
      </w:r>
    </w:p>
    <w:p w14:paraId="5C944BFD" w14:textId="77777777" w:rsidR="009E3195" w:rsidRPr="00DA7B54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DA7B54">
        <w:rPr>
          <w:rFonts w:ascii="Times New Roman" w:eastAsia="標楷體" w:hAnsi="Times New Roman" w:cs="Times New Roman" w:hint="eastAsia"/>
        </w:rPr>
        <w:t>個人會員參加專業領域進修課程，應全程參與。</w:t>
      </w:r>
    </w:p>
    <w:p w14:paraId="40341FF9" w14:textId="77777777" w:rsidR="009E3195" w:rsidRPr="00DA7B54" w:rsidRDefault="009E3195" w:rsidP="009E3195">
      <w:pPr>
        <w:widowControl/>
        <w:jc w:val="both"/>
        <w:rPr>
          <w:rFonts w:ascii="Times New Roman" w:eastAsia="標楷體" w:hAnsi="Times New Roman" w:cs="Times New Roman"/>
        </w:rPr>
      </w:pPr>
      <w:r w:rsidRPr="00EC3E9C">
        <w:rPr>
          <w:rFonts w:ascii="Times New Roman" w:eastAsia="標楷體" w:hAnsi="Times New Roman" w:cs="Times New Roman" w:hint="eastAsia"/>
          <w:b/>
          <w:bCs/>
          <w:color w:val="FF0000"/>
        </w:rPr>
        <w:t>課程每節一小時，經查證遲到或離席超過十五分鐘者，該節不</w:t>
      </w:r>
      <w:proofErr w:type="gramStart"/>
      <w:r w:rsidRPr="00EC3E9C">
        <w:rPr>
          <w:rFonts w:ascii="Times New Roman" w:eastAsia="標楷體" w:hAnsi="Times New Roman" w:cs="Times New Roman" w:hint="eastAsia"/>
          <w:b/>
          <w:bCs/>
          <w:color w:val="FF0000"/>
        </w:rPr>
        <w:t>採</w:t>
      </w:r>
      <w:proofErr w:type="gramEnd"/>
      <w:r w:rsidRPr="00EC3E9C">
        <w:rPr>
          <w:rFonts w:ascii="Times New Roman" w:eastAsia="標楷體" w:hAnsi="Times New Roman" w:cs="Times New Roman" w:hint="eastAsia"/>
          <w:b/>
          <w:bCs/>
          <w:color w:val="FF0000"/>
        </w:rPr>
        <w:t>計時數</w:t>
      </w:r>
      <w:r w:rsidRPr="00DA7B54">
        <w:rPr>
          <w:rFonts w:ascii="Times New Roman" w:eastAsia="標楷體" w:hAnsi="Times New Roman" w:cs="Times New Roman" w:hint="eastAsia"/>
        </w:rPr>
        <w:t>。</w:t>
      </w:r>
    </w:p>
    <w:sectPr w:rsidR="009E3195" w:rsidRPr="00DA7B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B346" w14:textId="77777777" w:rsidR="0078781A" w:rsidRDefault="0078781A" w:rsidP="00053C9B">
      <w:pPr>
        <w:spacing w:after="0" w:line="240" w:lineRule="auto"/>
      </w:pPr>
      <w:r>
        <w:separator/>
      </w:r>
    </w:p>
  </w:endnote>
  <w:endnote w:type="continuationSeparator" w:id="0">
    <w:p w14:paraId="594832CD" w14:textId="77777777" w:rsidR="0078781A" w:rsidRDefault="0078781A" w:rsidP="0005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372556"/>
      <w:docPartObj>
        <w:docPartGallery w:val="Page Numbers (Bottom of Page)"/>
        <w:docPartUnique/>
      </w:docPartObj>
    </w:sdtPr>
    <w:sdtEndPr/>
    <w:sdtContent>
      <w:p w14:paraId="3E571A1C" w14:textId="781C1B0B" w:rsidR="00053C9B" w:rsidRDefault="00053C9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112" w:rsidRPr="003E0112">
          <w:rPr>
            <w:noProof/>
            <w:lang w:val="zh-TW"/>
          </w:rPr>
          <w:t>3</w:t>
        </w:r>
        <w:r>
          <w:fldChar w:fldCharType="end"/>
        </w:r>
      </w:p>
    </w:sdtContent>
  </w:sdt>
  <w:p w14:paraId="63F58E30" w14:textId="77777777" w:rsidR="00053C9B" w:rsidRDefault="00053C9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1DC39" w14:textId="77777777" w:rsidR="0078781A" w:rsidRDefault="0078781A" w:rsidP="00053C9B">
      <w:pPr>
        <w:spacing w:after="0" w:line="240" w:lineRule="auto"/>
      </w:pPr>
      <w:r>
        <w:separator/>
      </w:r>
    </w:p>
  </w:footnote>
  <w:footnote w:type="continuationSeparator" w:id="0">
    <w:p w14:paraId="22D23090" w14:textId="77777777" w:rsidR="0078781A" w:rsidRDefault="0078781A" w:rsidP="0005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1363"/>
    <w:multiLevelType w:val="hybridMultilevel"/>
    <w:tmpl w:val="5406F6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B3CAB90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96767"/>
    <w:multiLevelType w:val="hybridMultilevel"/>
    <w:tmpl w:val="3920F55C"/>
    <w:lvl w:ilvl="0" w:tplc="21262E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08"/>
    <w:rsid w:val="00053C9B"/>
    <w:rsid w:val="000F1AE9"/>
    <w:rsid w:val="000F5EDC"/>
    <w:rsid w:val="001742A6"/>
    <w:rsid w:val="0023434D"/>
    <w:rsid w:val="002F7D1B"/>
    <w:rsid w:val="003E0112"/>
    <w:rsid w:val="00460AE4"/>
    <w:rsid w:val="00463AAC"/>
    <w:rsid w:val="004D10B7"/>
    <w:rsid w:val="005B15EF"/>
    <w:rsid w:val="005E7B4E"/>
    <w:rsid w:val="00680011"/>
    <w:rsid w:val="006A5C8E"/>
    <w:rsid w:val="00737E54"/>
    <w:rsid w:val="0078781A"/>
    <w:rsid w:val="007C4A37"/>
    <w:rsid w:val="00805166"/>
    <w:rsid w:val="008D5F08"/>
    <w:rsid w:val="00905477"/>
    <w:rsid w:val="00946AFC"/>
    <w:rsid w:val="009E3195"/>
    <w:rsid w:val="00B65EC0"/>
    <w:rsid w:val="00BE126C"/>
    <w:rsid w:val="00D70009"/>
    <w:rsid w:val="00E43142"/>
    <w:rsid w:val="00E6162B"/>
    <w:rsid w:val="00F52A4E"/>
    <w:rsid w:val="00F548E9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B7AB7"/>
  <w15:chartTrackingRefBased/>
  <w15:docId w15:val="{1F11C1E1-00DB-41E7-9507-95E5EF47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0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0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0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0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0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0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5F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D5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D5F0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D5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D5F0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D5F0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D5F0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D5F0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D5F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D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D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D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D5F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5F0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3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53C9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53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53C9B"/>
    <w:rPr>
      <w:sz w:val="20"/>
      <w:szCs w:val="20"/>
    </w:rPr>
  </w:style>
  <w:style w:type="character" w:styleId="af2">
    <w:name w:val="Hyperlink"/>
    <w:basedOn w:val="a0"/>
    <w:uiPriority w:val="99"/>
    <w:unhideWhenUsed/>
    <w:rsid w:val="00905477"/>
    <w:rPr>
      <w:color w:val="467886" w:themeColor="hyperlink"/>
      <w:u w:val="single"/>
    </w:rPr>
  </w:style>
  <w:style w:type="table" w:styleId="af3">
    <w:name w:val="Table Grid"/>
    <w:basedOn w:val="a1"/>
    <w:uiPriority w:val="39"/>
    <w:rsid w:val="009E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6AF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施秉慧</dc:creator>
  <cp:keywords/>
  <dc:description/>
  <cp:lastModifiedBy>USER</cp:lastModifiedBy>
  <cp:revision>10</cp:revision>
  <dcterms:created xsi:type="dcterms:W3CDTF">2024-07-30T08:13:00Z</dcterms:created>
  <dcterms:modified xsi:type="dcterms:W3CDTF">2024-10-16T05:25:00Z</dcterms:modified>
</cp:coreProperties>
</file>